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A6" w:rsidRPr="00D136E4" w:rsidRDefault="00B51EA6" w:rsidP="00B5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8175136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4361815</wp:posOffset>
                </wp:positionV>
                <wp:extent cx="1309370" cy="212725"/>
                <wp:effectExtent l="0" t="0" r="508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EA6" w:rsidRDefault="00B51EA6" w:rsidP="00B5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left:0;text-align:left;margin-left:193.7pt;margin-top:343.45pt;width:103.1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Z1ggIAABE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l51noT29cBW73Bhz9AAbgOdbqzJ2mXxxS+qYlasOvrNV9ywmD/OLJ5OToiOMC&#10;yLp/rxkEIluvI9DQ2C40D9qBAB14ejxyE5KhIeR5Wp7PwUTBlmf5PJ+G5BJSHU4b6/xbrjsUFjW2&#10;wH1EJ7s750fXg0sI5rQUbCWkjBu7Wd9Ii3YEdLKKzx79hZtUwVnpcGxEHP9AkhAj2EK6kfenMsuL&#10;9DovJ6vZYj4pVsV0Us7TxSTNyutylhZlcbv6HhLMiqoVjHF1JxQ/aDAr/o7j/TSM6okqRH2Nyyl0&#10;J9b1xyLT+PyuyE54GEkpuhovjk6kCsS+UQzKJpUnQo7r5GX6kRDoweEbuxJlEJgfNeCH9QAoQRtr&#10;zR5BEFYDX0At3COwaLX9hlEPM1lj93VLLMdIvlMgqjIrijDEcVNM5zls7KllfWohigJUjT1G4/LG&#10;j4O/NVZsWog0yljpKxBiI6JGnrOCEsIG5i4Ws78jwmCf7qPX8022/AEAAP//AwBQSwMEFAAGAAgA&#10;AAAhANjeuBbgAAAACwEAAA8AAABkcnMvZG93bnJldi54bWxMj8tOwzAQRfdI/IM1SGwQdWhT50Em&#10;FSCB2Lb0AybJNImI7Sh2m/TvMStYju7RvWeK3aIHceHJ9dYgPK0iEGxq2/SmRTh+vT+mIJwn09Bg&#10;DSNc2cGuvL0pKG/sbPZ8OfhWhBLjckLovB9zKV3dsSa3siObkJ3spMmHc2plM9EcyvUg11GkpKbe&#10;hIWORn7ruP4+nDXC6XN+2GZz9eGPyT5Wr9Qnlb0i3t8tL88gPC/+D4Zf/aAOZXCq7Nk0TgwImzSJ&#10;A4qgUpWBCMQ22ygQFUKyjmKQZSH//1D+AAAA//8DAFBLAQItABQABgAIAAAAIQC2gziS/gAAAOEB&#10;AAATAAAAAAAAAAAAAAAAAAAAAABbQ29udGVudF9UeXBlc10ueG1sUEsBAi0AFAAGAAgAAAAhADj9&#10;If/WAAAAlAEAAAsAAAAAAAAAAAAAAAAALwEAAF9yZWxzLy5yZWxzUEsBAi0AFAAGAAgAAAAhAPOc&#10;9nWCAgAAEQUAAA4AAAAAAAAAAAAAAAAALgIAAGRycy9lMm9Eb2MueG1sUEsBAi0AFAAGAAgAAAAh&#10;ANjeuBbgAAAACwEAAA8AAAAAAAAAAAAAAAAA3AQAAGRycy9kb3ducmV2LnhtbFBLBQYAAAAABAAE&#10;APMAAADpBQAAAAA=&#10;" stroked="f">
                <v:textbox>
                  <w:txbxContent>
                    <w:p w:rsidR="00B51EA6" w:rsidRDefault="00B51EA6" w:rsidP="00B51EA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-339725</wp:posOffset>
                </wp:positionV>
                <wp:extent cx="668020" cy="339090"/>
                <wp:effectExtent l="0" t="0" r="17780" b="22860"/>
                <wp:wrapNone/>
                <wp:docPr id="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437.55pt;margin-top:-26.75pt;width:52.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OcOgIAAHQEAAAOAAAAZHJzL2Uyb0RvYy54bWysVNuO0zAQfUfiHyy/06TdtrRR09WqSxHS&#10;AisWPsBxnMTCN8Zu0/L1jJ22tPCGyIPl8YyPz5yZyer+oBXZC/DSmpKORzklwnBbS9OW9NvX7ZsF&#10;JT4wUzNljSjpUXh6v379atW7QkxsZ1UtgCCI8UXvStqF4Ios87wTmvmRdcKgs7GgWUAT2qwG1iO6&#10;Vtkkz+dZb6F2YLnwHk8fByddJ/ymETx8bhovAlElRW4hrZDWKq7ZesWKFpjrJD/RYP/AQjNp8NEL&#10;1CMLjOxA/gWlJQfrbRNG3OrMNo3kIuWA2YzzP7J56ZgTKRcUx7uLTP7/wfJP+2cgsi7pjBLDNJbo&#10;C4rGTKsEmUyWUaDe+QLjXtwzxBS9e7L8uyfGbjqMEw8Atu8Eq5HWOMZnNxei4fEqqfqPtkZ8tgs2&#10;aXVoQEdAVIEcUkmOl5KIQyAcD+fzRT7BwnF03d0t82UqWcaK82UHPrwXVpO4KSkg+QTO9k8+RDKs&#10;OIck8lbJeiuVSga01UYB2TPsjm36En/M8TpMGdKXdDmbzBLyjS81qriAVO04xaidxmQH4HEev6HT&#10;8Bz7cTg/Z3KBSGRv0LUMOB1K6pIurlCi2O9MnXo3MKmGPWaqzEn9KPhQuMrWRxQf7ND6OKq46Sz8&#10;pKTHti+p/7FjIChRHwwWcDmeTuOcJGM6exu1h2tPde1hhiNUSQMlw3YThtnaOZBthy8Nchj7gEVv&#10;ZCpIbIiB1YkstnZK/TSGcXau7RT1+2ex/gUAAP//AwBQSwMEFAAGAAgAAAAhAKouDavdAAAACQEA&#10;AA8AAABkcnMvZG93bnJldi54bWxMj8FOwzAMhu9IvENkJG5bWqayUppOaAjtwoUO7l4T2mqNUyXp&#10;1r495gRH259+f3+5m+0gLsaH3pGCdJ2AMNQ43VOr4PP4tspBhIikcXBkFCwmwK66vSmx0O5KH+ZS&#10;x1ZwCIUCFXQxjoWUoemMxbB2oyG+fTtvMfLoW6k9XjncDvIhSR6lxZ74Q4ej2XemOdeTVfCu58O+&#10;yeZz/Ypb/+WnJeJhUer+bn55BhHNHP9g+NVndajY6eQm0kEMCvJtljKqYJVtMhBMPOXJBsSJNynI&#10;qpT/G1Q/AAAA//8DAFBLAQItABQABgAIAAAAIQC2gziS/gAAAOEBAAATAAAAAAAAAAAAAAAAAAAA&#10;AABbQ29udGVudF9UeXBlc10ueG1sUEsBAi0AFAAGAAgAAAAhADj9If/WAAAAlAEAAAsAAAAAAAAA&#10;AAAAAAAALwEAAF9yZWxzLy5yZWxzUEsBAi0AFAAGAAgAAAAhAGD9k5w6AgAAdAQAAA4AAAAAAAAA&#10;AAAAAAAALgIAAGRycy9lMm9Eb2MueG1sUEsBAi0AFAAGAAgAAAAhAKouDavdAAAACQEAAA8AAAAA&#10;AAAAAAAAAAAAlAQAAGRycy9kb3ducmV2LnhtbFBLBQYAAAAABAAEAPMAAACeBQAAAAA=&#10;" strokecolor="white [3212]"/>
            </w:pict>
          </mc:Fallback>
        </mc:AlternateContent>
      </w:r>
      <w:r w:rsidRPr="00D136E4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B51EA6" w:rsidRPr="00D136E4" w:rsidRDefault="00B51EA6" w:rsidP="00B5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6E4">
        <w:rPr>
          <w:rFonts w:ascii="Times New Roman" w:hAnsi="Times New Roman" w:cs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  <w:r w:rsidRPr="00D136E4">
        <w:rPr>
          <w:rFonts w:ascii="Times New Roman" w:hAnsi="Times New Roman" w:cs="Times New Roman"/>
          <w:b/>
          <w:sz w:val="40"/>
          <w:szCs w:val="36"/>
          <w:lang w:val="uk-UA"/>
        </w:rPr>
        <w:t>Лінійна алгебра</w:t>
      </w:r>
    </w:p>
    <w:p w:rsidR="00B51EA6" w:rsidRDefault="00B51EA6" w:rsidP="00B51E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136E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Модуль ІІ.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Матриці та визначники</w:t>
      </w:r>
    </w:p>
    <w:p w:rsidR="00B51EA6" w:rsidRPr="00D136E4" w:rsidRDefault="00B51EA6" w:rsidP="00B51E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Модуль ІІІ. Системи лінійних алгебраїчних рівнянь</w:t>
      </w: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D136E4">
        <w:rPr>
          <w:rFonts w:ascii="Times New Roman" w:hAnsi="Times New Roman" w:cs="Times New Roman"/>
          <w:sz w:val="32"/>
          <w:szCs w:val="28"/>
          <w:lang w:val="uk-UA"/>
        </w:rPr>
        <w:t>Навчальний посібник</w:t>
      </w: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D136E4">
        <w:rPr>
          <w:rFonts w:ascii="Times New Roman" w:hAnsi="Times New Roman" w:cs="Times New Roman"/>
          <w:b/>
          <w:sz w:val="32"/>
          <w:szCs w:val="28"/>
          <w:lang w:val="uk-UA"/>
        </w:rPr>
        <w:t>Укладач Дубовик В. В.</w:t>
      </w: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A6" w:rsidRPr="00D136E4" w:rsidRDefault="00B51EA6" w:rsidP="00B51EA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2-ге видання, перероблене та доповнене</w:t>
      </w: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A6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A6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1554480</wp:posOffset>
                </wp:positionV>
                <wp:extent cx="1583690" cy="737870"/>
                <wp:effectExtent l="0" t="0" r="0" b="50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EA6" w:rsidRDefault="00B51EA6" w:rsidP="00B51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63.75pt;margin-top:122.4pt;width:124.7pt;height:5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TCOgIAACgEAAAOAAAAZHJzL2Uyb0RvYy54bWysU81uEzEQviPxDpbvZJM0aZJVNlVJCUIq&#10;P1LhARyvN2the4ztZLfceucVeAcOHLjxCukbMfamaVRuiD1YMzvjb2a++Ty/aLUiO+G8BFPQQa9P&#10;iTAcSmk2Bf30cfViSokPzJRMgREFvRWeXiyeP5s3NhdDqEGVwhEEMT5vbEHrEGyeZZ7XQjPfAysM&#10;BitwmgV03SYrHWsQXats2O+fZw240jrgwnv8e9UF6SLhV5Xg4X1VeRGIKij2FtLp0rmOZ7aYs3zj&#10;mK0lP7TB/qELzaTBokeoKxYY2Tr5F5SW3IGHKvQ46AyqSnKRZsBpBv0n09zUzIo0C5Lj7ZEm//9g&#10;+bvdB0dkWdARJYZpXNH++/7H/uf+9/7X/d39NzKMHDXW55h6YzE5tC+hxV2neb29Bv7ZEwPLmpmN&#10;uHQOmlqwEnscxJvZydUOx0eQdfMWSizGtgESUFs5HQlESgii465uj/sRbSA8lhxPz85nGOIYm5xN&#10;ppO0wIzlD7et8+G1AE2iUVCH+0/obHftQ+yG5Q8psZgHJcuVVCo5brNeKkd2DLWySl8a4EmaMqQp&#10;6Gw8HCdkA/F+kpGWAbWspC7otB+/Tl2RjVemTCmBSdXZ2IkyB3oiIx03oV23aRuJu0jdGspb5MtB&#10;J118amjU4L5S0qBsC+q/bJkTlKg3BjmfDUajqPPkjMaTITruNLI+jTDDEaqggZLOXIb0NiIdBi5x&#10;N5VMtD12cmgZ5ZjYPDydqPdTP2U9PvDFHwAAAP//AwBQSwMEFAAGAAgAAAAhABl/3wLfAAAACwEA&#10;AA8AAABkcnMvZG93bnJldi54bWxMj8tOwzAQRfdI/IM1SGwQdRryoCFOBUggti39gEnsJhHxOIrd&#10;Jv17hhVdju7RnXPL7WIHcTaT7x0pWK8iEIYap3tqFRy+Px6fQfiApHFwZBRcjIdtdXtTYqHdTDtz&#10;3odWcAn5AhV0IYyFlL7pjEW/cqMhzo5ushj4nFqpJ5y53A4yjqJMWuyJP3Q4mvfOND/7k1Vw/Jof&#10;0s1cf4ZDvkuyN+zz2l2Uur9bXl9ABLOEfxj+9FkdKnaq3Ym0F4OCpzhPGVUQJwlvYCLNsw2ImqNs&#10;HYGsSnm9ofoFAAD//wMAUEsBAi0AFAAGAAgAAAAhALaDOJL+AAAA4QEAABMAAAAAAAAAAAAAAAAA&#10;AAAAAFtDb250ZW50X1R5cGVzXS54bWxQSwECLQAUAAYACAAAACEAOP0h/9YAAACUAQAACwAAAAAA&#10;AAAAAAAAAAAvAQAAX3JlbHMvLnJlbHNQSwECLQAUAAYACAAAACEAgb4EwjoCAAAoBAAADgAAAAAA&#10;AAAAAAAAAAAuAgAAZHJzL2Uyb0RvYy54bWxQSwECLQAUAAYACAAAACEAGX/fAt8AAAALAQAADwAA&#10;AAAAAAAAAAAAAACUBAAAZHJzL2Rvd25yZXYueG1sUEsFBgAAAAAEAAQA8wAAAKAFAAAAAA==&#10;" stroked="f">
                <v:textbox>
                  <w:txbxContent>
                    <w:p w:rsidR="00B51EA6" w:rsidRDefault="00B51EA6" w:rsidP="00B51EA6"/>
                  </w:txbxContent>
                </v:textbox>
              </v:shape>
            </w:pict>
          </mc:Fallback>
        </mc:AlternateContent>
      </w: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A6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A6" w:rsidRPr="00D136E4" w:rsidRDefault="00B51EA6" w:rsidP="00B51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A6" w:rsidRPr="00D136E4" w:rsidRDefault="00B51EA6" w:rsidP="00B5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6E4">
        <w:rPr>
          <w:rFonts w:ascii="Times New Roman" w:hAnsi="Times New Roman" w:cs="Times New Roman"/>
          <w:sz w:val="28"/>
          <w:szCs w:val="28"/>
          <w:lang w:val="uk-UA"/>
        </w:rPr>
        <w:t xml:space="preserve">Умань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218440</wp:posOffset>
                </wp:positionV>
                <wp:extent cx="1309370" cy="212725"/>
                <wp:effectExtent l="0" t="0" r="5080" b="0"/>
                <wp:wrapNone/>
                <wp:docPr id="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EA6" w:rsidRDefault="00B51EA6" w:rsidP="00B5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28" type="#_x0000_t202" style="position:absolute;left:0;text-align:left;margin-left:186.8pt;margin-top:17.2pt;width:103.1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BohgIAABg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2n&#10;GCnSAUUPfPDoWg8on8b+9MZV4HZvwNEPYACeY63O3Gn6xSGlb1qiNvzKWt23nDDILwudTU6OBkZc&#10;5QLIun+vGQQiW68j0NDYLjQP2oEAHXh6PHITkqEh5DQtp3MwUbDlWT7PZzEEqQ6njXX+LdcdCosa&#10;W+A+opPdnfMhG1IdXEIwp6VgKyFl3NjN+kZatCOgk1V89ugv3KQKzkqHYyPi+AeShBjBFtKNvD+V&#10;WV6k13k5WZ0v5pNiVcwm5TxdTNKsvC7P06IsblffQ4JZUbWCMa7uhOIHDWbF33G8n4ZRPVGFqK9x&#10;OYPuxLr+WGQan98V2QkPIylFV+PF0YlUgdg3isWB8UTIcZ28TD92GXpw+MauRBkE5kcN+GE9RMXl&#10;IXpQxVqzR9CF1UAbMAzXCSxabb9h1MNo1th93RLLMZLvFGirzIoizHLcFLN5Dht7almfWoiiAFVj&#10;j9G4vPHj/G+NFZsWIo1qVvoK9NiIKJXnrPYqhvGLNe2vijDfp/vo9XyhLX8AAAD//wMAUEsDBBQA&#10;BgAIAAAAIQCxn2Em3QAAAAkBAAAPAAAAZHJzL2Rvd25yZXYueG1sTI/BTsMwDIbvSLxDZCQuiKWw&#10;rqGl6QRIIK4be4C08dqKxqmabO3eHnOCmy1/+v395XZxgzjjFHpPGh5WCQikxtueWg2Hr/f7JxAh&#10;GrJm8IQaLhhgW11flaawfqYdnvexFRxCoTAauhjHQsrQdOhMWPkRiW9HPzkTeZ1aaSczc7gb5GOS&#10;ZNKZnvhDZ0Z867D53p+chuPnfLfJ5/ojHtQuzV5Nr2p/0fr2Znl5BhFxiX8w/OqzOlTsVPsT2SAG&#10;DWu1zhjlIU1BMLBROXepNWQqB1mV8n+D6gcAAP//AwBQSwECLQAUAAYACAAAACEAtoM4kv4AAADh&#10;AQAAEwAAAAAAAAAAAAAAAAAAAAAAW0NvbnRlbnRfVHlwZXNdLnhtbFBLAQItABQABgAIAAAAIQA4&#10;/SH/1gAAAJQBAAALAAAAAAAAAAAAAAAAAC8BAABfcmVscy8ucmVsc1BLAQItABQABgAIAAAAIQBc&#10;9bBohgIAABgFAAAOAAAAAAAAAAAAAAAAAC4CAABkcnMvZTJvRG9jLnhtbFBLAQItABQABgAIAAAA&#10;IQCxn2Em3QAAAAkBAAAPAAAAAAAAAAAAAAAAAOAEAABkcnMvZG93bnJldi54bWxQSwUGAAAAAAQA&#10;BADzAAAA6gUAAAAA&#10;" stroked="f">
                <v:textbox>
                  <w:txbxContent>
                    <w:p w:rsidR="00B51EA6" w:rsidRDefault="00B51EA6" w:rsidP="00B51EA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</w:p>
    <w:p w:rsidR="00B51EA6" w:rsidRPr="00E82403" w:rsidRDefault="00B51EA6" w:rsidP="00B51EA6">
      <w:pPr>
        <w:spacing w:after="120"/>
        <w:rPr>
          <w:rFonts w:ascii="Times New Roman" w:hAnsi="Times New Roman" w:cs="Times New Roman"/>
          <w:sz w:val="28"/>
          <w:lang w:val="uk-UA"/>
        </w:rPr>
      </w:pPr>
      <w:r>
        <w:rPr>
          <w:shd w:val="clear" w:color="auto" w:fill="FFFFFF"/>
          <w:lang w:val="uk-UA"/>
        </w:rPr>
        <w:br w:type="column"/>
      </w:r>
      <w:r w:rsidRPr="00E82403">
        <w:rPr>
          <w:rFonts w:ascii="Times New Roman" w:hAnsi="Times New Roman" w:cs="Times New Roman"/>
          <w:sz w:val="28"/>
          <w:lang w:val="uk-UA"/>
        </w:rPr>
        <w:lastRenderedPageBreak/>
        <w:t>УДК 512.64(075.8)</w:t>
      </w:r>
    </w:p>
    <w:p w:rsidR="00B51EA6" w:rsidRPr="00E82403" w:rsidRDefault="00B51EA6" w:rsidP="00B51EA6">
      <w:pPr>
        <w:spacing w:after="1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</w:t>
      </w:r>
      <w:r w:rsidRPr="00E82403">
        <w:rPr>
          <w:rFonts w:ascii="Times New Roman" w:hAnsi="Times New Roman" w:cs="Times New Roman"/>
          <w:sz w:val="28"/>
          <w:lang w:val="uk-UA"/>
        </w:rPr>
        <w:t>Л59</w:t>
      </w:r>
    </w:p>
    <w:p w:rsidR="00B51EA6" w:rsidRPr="00C12280" w:rsidRDefault="00B51EA6" w:rsidP="00B51EA6">
      <w:pPr>
        <w:rPr>
          <w:rFonts w:ascii="Times New Roman" w:hAnsi="Times New Roman" w:cs="Times New Roman"/>
          <w:lang w:val="uk-UA"/>
        </w:rPr>
      </w:pPr>
    </w:p>
    <w:p w:rsidR="00B51EA6" w:rsidRPr="00C12280" w:rsidRDefault="00B51EA6" w:rsidP="00B51EA6">
      <w:pPr>
        <w:rPr>
          <w:rFonts w:ascii="Times New Roman" w:hAnsi="Times New Roman" w:cs="Times New Roman"/>
          <w:lang w:val="uk-UA"/>
        </w:rPr>
      </w:pPr>
    </w:p>
    <w:p w:rsidR="00B51EA6" w:rsidRPr="00C12280" w:rsidRDefault="00B51EA6" w:rsidP="00B51EA6">
      <w:pPr>
        <w:jc w:val="center"/>
        <w:rPr>
          <w:rFonts w:ascii="Times New Roman" w:hAnsi="Times New Roman" w:cs="Times New Roman"/>
          <w:i/>
          <w:sz w:val="32"/>
          <w:lang w:val="uk-UA"/>
        </w:rPr>
      </w:pPr>
      <w:r w:rsidRPr="00C12280">
        <w:rPr>
          <w:rFonts w:ascii="Times New Roman" w:hAnsi="Times New Roman" w:cs="Times New Roman"/>
          <w:i/>
          <w:sz w:val="32"/>
          <w:lang w:val="uk-UA"/>
        </w:rPr>
        <w:t>Рекомендовано до друку вченою радою факультету фізики, математики та інформатики Уманського державного педагогічного університету імені Павла Тичини</w:t>
      </w:r>
    </w:p>
    <w:p w:rsidR="00B51EA6" w:rsidRPr="00C12280" w:rsidRDefault="00B51EA6" w:rsidP="00B51EA6">
      <w:pPr>
        <w:jc w:val="center"/>
        <w:rPr>
          <w:rFonts w:ascii="Times New Roman" w:hAnsi="Times New Roman" w:cs="Times New Roman"/>
          <w:i/>
          <w:sz w:val="32"/>
          <w:lang w:val="uk-UA"/>
        </w:rPr>
      </w:pPr>
      <w:r w:rsidRPr="00C12280">
        <w:rPr>
          <w:rFonts w:ascii="Times New Roman" w:hAnsi="Times New Roman" w:cs="Times New Roman"/>
          <w:i/>
          <w:sz w:val="32"/>
          <w:lang w:val="uk-UA"/>
        </w:rPr>
        <w:t>(</w:t>
      </w:r>
      <w:r>
        <w:rPr>
          <w:rFonts w:ascii="Times New Roman" w:hAnsi="Times New Roman" w:cs="Times New Roman"/>
          <w:i/>
          <w:sz w:val="32"/>
          <w:lang w:val="uk-UA"/>
        </w:rPr>
        <w:t>протокол №4</w:t>
      </w:r>
      <w:r w:rsidRPr="00C12280">
        <w:rPr>
          <w:rFonts w:ascii="Times New Roman" w:hAnsi="Times New Roman" w:cs="Times New Roman"/>
          <w:i/>
          <w:sz w:val="32"/>
          <w:lang w:val="uk-UA"/>
        </w:rPr>
        <w:t xml:space="preserve"> від 24 листопада 2017)</w:t>
      </w:r>
    </w:p>
    <w:p w:rsidR="00B51EA6" w:rsidRPr="00C12280" w:rsidRDefault="00B51EA6" w:rsidP="00B51EA6">
      <w:pPr>
        <w:jc w:val="center"/>
        <w:rPr>
          <w:rFonts w:ascii="Times New Roman" w:hAnsi="Times New Roman" w:cs="Times New Roman"/>
          <w:i/>
          <w:sz w:val="32"/>
          <w:lang w:val="uk-UA"/>
        </w:rPr>
      </w:pPr>
    </w:p>
    <w:p w:rsidR="00B51EA6" w:rsidRPr="00FE2CD8" w:rsidRDefault="00B51EA6" w:rsidP="00B51EA6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FE2CD8">
        <w:rPr>
          <w:rFonts w:ascii="Times New Roman" w:hAnsi="Times New Roman" w:cs="Times New Roman"/>
          <w:b/>
          <w:sz w:val="24"/>
          <w:lang w:val="uk-UA"/>
        </w:rPr>
        <w:t>Рецензенти:</w:t>
      </w:r>
    </w:p>
    <w:p w:rsidR="00B51EA6" w:rsidRPr="00FE2CD8" w:rsidRDefault="00B51EA6" w:rsidP="00B51EA6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2CD8">
        <w:rPr>
          <w:rFonts w:ascii="Times New Roman" w:hAnsi="Times New Roman" w:cs="Times New Roman"/>
          <w:b/>
          <w:sz w:val="24"/>
          <w:lang w:val="uk-UA"/>
        </w:rPr>
        <w:t>Вакалюк Т.А.</w:t>
      </w:r>
      <w:r w:rsidRPr="00FE2CD8">
        <w:rPr>
          <w:rFonts w:ascii="Times New Roman" w:hAnsi="Times New Roman" w:cs="Times New Roman"/>
          <w:sz w:val="24"/>
          <w:lang w:val="uk-UA"/>
        </w:rPr>
        <w:t xml:space="preserve"> – кандидат педагогічних наук, доцент кафедри прикладної математики та інформатики Житомирського державного університету імені Івана Франка.</w:t>
      </w:r>
    </w:p>
    <w:p w:rsidR="00B51EA6" w:rsidRPr="00FE2CD8" w:rsidRDefault="00B51EA6" w:rsidP="00B51EA6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2CD8">
        <w:rPr>
          <w:rFonts w:ascii="Times New Roman" w:hAnsi="Times New Roman" w:cs="Times New Roman"/>
          <w:b/>
          <w:sz w:val="24"/>
          <w:lang w:val="uk-UA"/>
        </w:rPr>
        <w:t>Махомета Т.М.</w:t>
      </w:r>
      <w:r w:rsidRPr="00FE2CD8">
        <w:rPr>
          <w:rFonts w:ascii="Times New Roman" w:hAnsi="Times New Roman" w:cs="Times New Roman"/>
          <w:sz w:val="24"/>
          <w:lang w:val="uk-UA"/>
        </w:rPr>
        <w:t xml:space="preserve"> – кандидат педагогічних наук, доцент кафедри вищої математики та методики навчання математики Уманського державного педагогічного університету імені Павла Тичини.</w:t>
      </w:r>
    </w:p>
    <w:p w:rsidR="00B51EA6" w:rsidRDefault="00B51EA6" w:rsidP="00B51EA6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2CD8">
        <w:rPr>
          <w:rFonts w:ascii="Times New Roman" w:hAnsi="Times New Roman" w:cs="Times New Roman"/>
          <w:b/>
          <w:sz w:val="24"/>
          <w:lang w:val="uk-UA"/>
        </w:rPr>
        <w:t>Поліщук Т.В.</w:t>
      </w:r>
      <w:r w:rsidRPr="00FE2CD8">
        <w:rPr>
          <w:rFonts w:ascii="Times New Roman" w:hAnsi="Times New Roman" w:cs="Times New Roman"/>
          <w:sz w:val="24"/>
          <w:lang w:val="uk-UA"/>
        </w:rPr>
        <w:t xml:space="preserve"> – кандидат фізико-математичних наук, доцент кафедри вищої математики та методики навчання математики Уманського державного педагогічного університету імені Павла Тичини.</w:t>
      </w:r>
    </w:p>
    <w:p w:rsidR="00B51EA6" w:rsidRDefault="00B51EA6" w:rsidP="00B51EA6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B51EA6" w:rsidRPr="00E82403" w:rsidRDefault="00B51EA6" w:rsidP="00B51EA6">
      <w:pPr>
        <w:spacing w:after="120"/>
        <w:jc w:val="both"/>
        <w:rPr>
          <w:rFonts w:ascii="Times New Roman" w:hAnsi="Times New Roman" w:cs="Times New Roman"/>
          <w:sz w:val="28"/>
          <w:lang w:val="uk-UA"/>
        </w:rPr>
      </w:pPr>
      <w:r w:rsidRPr="00E82403">
        <w:rPr>
          <w:rFonts w:ascii="Times New Roman" w:hAnsi="Times New Roman" w:cs="Times New Roman"/>
          <w:sz w:val="28"/>
          <w:lang w:val="uk-UA"/>
        </w:rPr>
        <w:t>Л59</w:t>
      </w:r>
      <w:r>
        <w:rPr>
          <w:rFonts w:ascii="Times New Roman" w:hAnsi="Times New Roman" w:cs="Times New Roman"/>
          <w:sz w:val="28"/>
          <w:lang w:val="uk-UA"/>
        </w:rPr>
        <w:t xml:space="preserve">  Лінійна алгебра. Модуль ІІ. Матриці та визначники. Модуль ІІІ. Системи лінійних алгебраїчних рівнянь : навчальний посібник / МОН України, Уманський держ. пед. у-тет імені Павла Тичини; уклад.  Дубовик В. В. – 2-ге вид., перероб. та доп.– Умань: Візаві, 2018. – 148 с.</w:t>
      </w:r>
    </w:p>
    <w:p w:rsidR="00B51EA6" w:rsidRDefault="00B51EA6" w:rsidP="00B51EA6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B51EA6" w:rsidRDefault="00B51EA6" w:rsidP="00B51EA6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B51EA6" w:rsidRPr="00FE2CD8" w:rsidRDefault="00B51EA6" w:rsidP="00B51EA6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B51EA6" w:rsidRDefault="00B51EA6" w:rsidP="00B51EA6">
      <w:pPr>
        <w:jc w:val="both"/>
        <w:rPr>
          <w:rFonts w:ascii="Times New Roman" w:hAnsi="Times New Roman" w:cs="Times New Roman"/>
          <w:sz w:val="24"/>
          <w:lang w:val="uk-UA"/>
        </w:rPr>
      </w:pPr>
      <w:r w:rsidRPr="00FE2CD8">
        <w:rPr>
          <w:rFonts w:ascii="Times New Roman" w:hAnsi="Times New Roman" w:cs="Times New Roman"/>
          <w:sz w:val="24"/>
          <w:lang w:val="uk-UA"/>
        </w:rPr>
        <w:t xml:space="preserve">У посібнику розкриті теоретичні основи матриць та визначників, </w:t>
      </w:r>
      <w:r>
        <w:rPr>
          <w:rFonts w:ascii="Times New Roman" w:hAnsi="Times New Roman" w:cs="Times New Roman"/>
          <w:sz w:val="24"/>
          <w:lang w:val="uk-UA"/>
        </w:rPr>
        <w:t xml:space="preserve">систем лінійних алгебраїчних рівнянь, </w:t>
      </w:r>
      <w:r w:rsidRPr="00FE2CD8">
        <w:rPr>
          <w:rFonts w:ascii="Times New Roman" w:hAnsi="Times New Roman" w:cs="Times New Roman"/>
          <w:sz w:val="24"/>
          <w:lang w:val="uk-UA"/>
        </w:rPr>
        <w:t>а також розглянуті практичні завдання по даних темах. Кожний розділ доповнений контрольними запитаннями та завданнями для самоконтролю.</w:t>
      </w:r>
    </w:p>
    <w:p w:rsidR="00B51EA6" w:rsidRPr="00E82403" w:rsidRDefault="00B51EA6" w:rsidP="00B51EA6">
      <w:pPr>
        <w:spacing w:after="120"/>
        <w:jc w:val="right"/>
        <w:rPr>
          <w:rFonts w:ascii="Times New Roman" w:hAnsi="Times New Roman" w:cs="Times New Roman"/>
          <w:sz w:val="28"/>
          <w:lang w:val="uk-UA"/>
        </w:rPr>
      </w:pPr>
      <w:r w:rsidRPr="00E82403">
        <w:rPr>
          <w:rFonts w:ascii="Times New Roman" w:hAnsi="Times New Roman" w:cs="Times New Roman"/>
          <w:sz w:val="28"/>
          <w:lang w:val="uk-UA"/>
        </w:rPr>
        <w:t>УДК 512.64(075.8)</w:t>
      </w:r>
    </w:p>
    <w:p w:rsidR="00B51EA6" w:rsidRPr="00E82403" w:rsidRDefault="00B51EA6" w:rsidP="00B51EA6">
      <w:pPr>
        <w:spacing w:after="12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230505</wp:posOffset>
                </wp:positionV>
                <wp:extent cx="1583690" cy="737870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EA6" w:rsidRDefault="00B51EA6" w:rsidP="00B51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1.75pt;margin-top:18.15pt;width:124.7pt;height:5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eSOQIAACgEAAAOAAAAZHJzL2Uyb0RvYy54bWysU82O0zAQviPxDpbvNP3dtlHT1dKlCGn5&#10;kRYewHGcxsLxGNttUm7ceQXegQMHbrxC940YO22plhsiB8uTGX+e+b7Pi+u2VmQnrJOgMzro9SkR&#10;mkMh9SajH96vn80ocZ7pginQIqN74ej18umTRWNSMYQKVCEsQRDt0sZktPLepEnieCVq5npghMZk&#10;CbZmHkO7SQrLGkSvVTLs96+SBmxhLHDhHP697ZJ0GfHLUnD/tiyd8ERlFHvzcbVxzcOaLBcs3Vhm&#10;KsmPbbB/6KJmUuOlZ6hb5hnZWvkXVC25BQel73GoEyhLyUWcAacZ9B9Nc18xI+IsSI4zZ5rc/4Pl&#10;b3bvLJFFRoeUaFajRIdvh++HH4dfh58PXx6+kmHgqDEuxdJ7g8W+fQ4tah3ndeYO+EdHNKwqpjfi&#10;xlpoKsEK7HEQTiYXRzscF0Dy5jUUeBnbeohAbWnrQCBSQhAdtdqf9RGtJzxcOZmNruaY4pibjqaz&#10;aRQwYenptLHOvxRQk7DJqEX9Izrb3TkfumHpqSRc5kDJYi2VioHd5CtlyY6hV9bxiwM8KlOaNBmd&#10;T4aTiKwhnI82qqVHLytZZ3TWD1/nrsDGC13EEs+k6vbYidJHegIjHTe+zduoxujEeg7FHvmy0FkX&#10;nxpuKrCfKWnQthl1n7bMCkrUK42czwfjcfB5DMaT6RADe5nJLzNMc4TKqKek2658fBuBDg03qE0p&#10;I21BxK6TY8tox8jm8ekEv1/GserPA1/+BgAA//8DAFBLAwQUAAYACAAAACEAjnDdVd4AAAAKAQAA&#10;DwAAAGRycy9kb3ducmV2LnhtbEyPwU7DMAyG70i8Q2QkLoiltKRjpekESCCuG3sAt/Haiiapmmzt&#10;3h5zgpstf/r9/eV2sYM40xR67zQ8rBIQ5BpvetdqOHy93z+BCBGdwcE70nChANvq+qrEwvjZ7ei8&#10;j63gEBcK1NDFOBZShqYji2HlR3J8O/rJYuR1aqWZcOZwO8g0SXJpsXf8ocOR3jpqvvcnq+H4Od+p&#10;zVx/xMN695i/Yr+u/UXr25vl5RlEpCX+wfCrz+pQsVPtT84EMWjIkkwxykOegWBAqXQDomZSpQpk&#10;Vcr/FaofAAAA//8DAFBLAQItABQABgAIAAAAIQC2gziS/gAAAOEBAAATAAAAAAAAAAAAAAAAAAAA&#10;AABbQ29udGVudF9UeXBlc10ueG1sUEsBAi0AFAAGAAgAAAAhADj9If/WAAAAlAEAAAsAAAAAAAAA&#10;AAAAAAAALwEAAF9yZWxzLy5yZWxzUEsBAi0AFAAGAAgAAAAhAPjJd5I5AgAAKAQAAA4AAAAAAAAA&#10;AAAAAAAALgIAAGRycy9lMm9Eb2MueG1sUEsBAi0AFAAGAAgAAAAhAI5w3VXeAAAACgEAAA8AAAAA&#10;AAAAAAAAAAAAkwQAAGRycy9kb3ducmV2LnhtbFBLBQYAAAAABAAEAPMAAACeBQAAAAA=&#10;" stroked="f">
                <v:textbox>
                  <w:txbxContent>
                    <w:p w:rsidR="00B51EA6" w:rsidRDefault="00B51EA6" w:rsidP="00B51EA6"/>
                  </w:txbxContent>
                </v:textbox>
              </v:shape>
            </w:pict>
          </mc:Fallback>
        </mc:AlternateContent>
      </w:r>
      <w:r w:rsidRPr="00E82403">
        <w:rPr>
          <w:rFonts w:ascii="Times New Roman" w:hAnsi="Times New Roman" w:cs="Times New Roman"/>
          <w:sz w:val="28"/>
          <w:lang w:val="uk-UA"/>
        </w:rPr>
        <w:t>Л59</w:t>
      </w:r>
    </w:p>
    <w:p w:rsidR="00B51EA6" w:rsidRDefault="00B51EA6" w:rsidP="00B51EA6">
      <w:pPr>
        <w:pStyle w:val="a5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7647305</wp:posOffset>
                </wp:positionV>
                <wp:extent cx="2376170" cy="414655"/>
                <wp:effectExtent l="0" t="0" r="5080" b="4445"/>
                <wp:wrapNone/>
                <wp:docPr id="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EA6" w:rsidRDefault="00B51EA6" w:rsidP="00B51EA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1" o:spid="_x0000_s1030" type="#_x0000_t202" style="position:absolute;margin-left:161.7pt;margin-top:602.15pt;width:187.1pt;height:32.6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2ihgIAABgFAAAOAAAAZHJzL2Uyb0RvYy54bWysVNuO2yAQfa/Uf0C8Z30pudiKs9rs1lWl&#10;7UXa7QcQg2NUGyiQ2NtV/70DTlL38lBV9YMNnuFwhnOG9fXQtejIjRVKFji5ijHislJMyH2BPz2W&#10;sxVG1lHJaKskL/ATt/h68/LFutc5T1WjWsYNAhBp814XuHFO51Fkq4Z31F4pzSUEa2U66mBq9hEz&#10;tAf0ro3SOF5EvTJMG1Vxa+Hv3RjEm4Bf17xyH+racofaAgM3F94mvHf+HW3WNN8bqhtRnWjQf2DR&#10;USFh0wvUHXUUHYz4DaoTlVFW1e6qUl2k6lpUPNQA1STxL9U8NFTzUAscjtWXY7L/D7Z6f/xokGCg&#10;HUaSdiDRIx8c2qoBpcvEn0+vbQ5pDxoS3QABn+trtfpeVZ8tkuq2oXLPb4xRfcMpA35hZTRZOuJY&#10;D7Lr3ykGG9GDUwFoqE3nAeE4EKCDTk8XbTyZCn6mr5aLZAmhCmIkIYv53JOLaH5erY11b7jqkB8U&#10;2ID2AZ0e760bU88pgb1qBStF24aJ2e9uW4OOFHxShueEbqdprfTJUvllI+L4B0jCHj7m6Qbdn7Mk&#10;JfE2zWblYrWckZLMZ9kyXs3iJNtmi5hk5K785gkmJG8EY1zeC8nPHkzI32l86obRPcGFqC9wNk/n&#10;o0RT9nZaZByePxXZCQct2YquwKtLEs29sK8lg7Jp7qhox3H0M/0gCJzB+RtOJdjAKz96wA27ITiO&#10;nN21U+wJfGEUyAYKw3UCg0aZrxj10JoFtl8O1HCM2rcSvJUlhPheDhMyX6YwMdPIbhqhsgKoAjuM&#10;xuGtG/v/oI3YN7DT2c034MdSBKt4446soBI/gfYLNZ2uCt/f03nI+nGhbb4DAAD//wMAUEsDBBQA&#10;BgAIAAAAIQALE5GT4wAAAA0BAAAPAAAAZHJzL2Rvd25yZXYueG1sTI/LTsMwEEX3SPyDNUhsUOvU&#10;qQwNcary2nTXkkosp7GbBOJxFLtt4OtxV7CcuUd3zuTL0XbsZAbfOlIwmybADFVOt1QrKN/fJg/A&#10;fEDS2DkyCr6Nh2VxfZVjpt2ZNua0DTWLJeQzVNCE0Gec+6oxFv3U9YZidnCDxRDHoeZ6wHMstx0X&#10;SSK5xZbihQZ789yY6mt7tAp+nsqX1etdmB1E+BC7jV2X1ScqdXszrh6BBTOGPxgu+lEdiui0d0fS&#10;nnUKUpHOIxoDkcxTYBGRi3sJbH9ZyYUEXuT8/xfFLwAAAP//AwBQSwECLQAUAAYACAAAACEAtoM4&#10;kv4AAADhAQAAEwAAAAAAAAAAAAAAAAAAAAAAW0NvbnRlbnRfVHlwZXNdLnhtbFBLAQItABQABgAI&#10;AAAAIQA4/SH/1gAAAJQBAAALAAAAAAAAAAAAAAAAAC8BAABfcmVscy8ucmVsc1BLAQItABQABgAI&#10;AAAAIQDozR2ihgIAABgFAAAOAAAAAAAAAAAAAAAAAC4CAABkcnMvZTJvRG9jLnhtbFBLAQItABQA&#10;BgAIAAAAIQALE5GT4wAAAA0BAAAPAAAAAAAAAAAAAAAAAOAEAABkcnMvZG93bnJldi54bWxQSwUG&#10;AAAAAAQABADzAAAA8AUAAAAA&#10;" stroked="f">
                <v:textbox style="mso-fit-shape-to-text:t">
                  <w:txbxContent>
                    <w:p w:rsidR="00B51EA6" w:rsidRDefault="00B51EA6" w:rsidP="00B51EA6"/>
                  </w:txbxContent>
                </v:textbox>
              </v:shape>
            </w:pict>
          </mc:Fallback>
        </mc:AlternateContent>
      </w:r>
      <w:r w:rsidRPr="00E66321">
        <w:rPr>
          <w:lang w:val="uk-UA"/>
        </w:rPr>
        <w:br w:type="column"/>
      </w:r>
    </w:p>
    <w:sdt>
      <w:sdtPr>
        <w:rPr>
          <w:b/>
          <w:bCs/>
        </w:rPr>
        <w:id w:val="892074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51EA6" w:rsidRPr="00AB030E" w:rsidRDefault="00B51EA6" w:rsidP="00B51EA6">
          <w:pPr>
            <w:spacing w:after="120"/>
            <w:rPr>
              <w:sz w:val="44"/>
              <w:szCs w:val="32"/>
              <w:lang w:val="uk-UA"/>
            </w:rPr>
          </w:pPr>
          <w:r w:rsidRPr="00AB030E">
            <w:rPr>
              <w:sz w:val="44"/>
              <w:szCs w:val="32"/>
              <w:lang w:val="uk-UA"/>
            </w:rPr>
            <w:t>Зміст</w:t>
          </w:r>
        </w:p>
        <w:p w:rsidR="00B51EA6" w:rsidRPr="00AB030E" w:rsidRDefault="00B51EA6" w:rsidP="00B51EA6">
          <w:pPr>
            <w:pStyle w:val="11"/>
            <w:rPr>
              <w:sz w:val="28"/>
              <w:szCs w:val="28"/>
            </w:rPr>
          </w:pPr>
          <w:r w:rsidRPr="00D86187">
            <w:rPr>
              <w:sz w:val="24"/>
              <w:szCs w:val="32"/>
              <w:lang w:val="ru-RU"/>
            </w:rPr>
            <w:fldChar w:fldCharType="begin"/>
          </w:r>
          <w:r w:rsidRPr="00D86187">
            <w:rPr>
              <w:sz w:val="24"/>
              <w:szCs w:val="32"/>
              <w:lang w:val="ru-RU"/>
            </w:rPr>
            <w:instrText xml:space="preserve"> TOC \o "1-3" \h \z \u </w:instrText>
          </w:r>
          <w:r w:rsidRPr="00D86187">
            <w:rPr>
              <w:sz w:val="24"/>
              <w:szCs w:val="32"/>
              <w:lang w:val="ru-RU"/>
            </w:rPr>
            <w:fldChar w:fldCharType="separate"/>
          </w:r>
          <w:hyperlink w:anchor="_Toc531055202" w:history="1">
            <w:r w:rsidRPr="00AB030E">
              <w:rPr>
                <w:rStyle w:val="a6"/>
                <w:sz w:val="28"/>
                <w:szCs w:val="28"/>
                <w:shd w:val="clear" w:color="auto" w:fill="FFFFFF"/>
              </w:rPr>
              <w:t>Передмова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_Toc531055202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5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11"/>
            <w:rPr>
              <w:rFonts w:asciiTheme="minorHAnsi" w:hAnsiTheme="minorHAns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>Модуль ІІ. Матриці та визначники</w:t>
          </w:r>
          <w:hyperlink w:anchor="_Toc531055203" w:history="1"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_Toc531055203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6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11"/>
            <w:rPr>
              <w:rFonts w:asciiTheme="minorHAnsi" w:hAnsiTheme="minorHAns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Розділ 1. </w:t>
          </w:r>
          <w:hyperlink w:anchor="_Toc531055203" w:history="1">
            <w:r w:rsidRPr="00AB030E">
              <w:rPr>
                <w:rStyle w:val="a6"/>
                <w:rFonts w:ascii="Century" w:hAnsi="Century"/>
                <w:sz w:val="28"/>
                <w:szCs w:val="28"/>
              </w:rPr>
              <w:t>Основні поняття про матрицю. Операції над матрицями та їх властивості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_Toc531055203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6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1.1. </w:t>
          </w:r>
          <w:hyperlink w:anchor="_Toc531055204" w:history="1">
            <w:r w:rsidRPr="00AB030E">
              <w:rPr>
                <w:rStyle w:val="a6"/>
                <w:sz w:val="28"/>
                <w:szCs w:val="28"/>
              </w:rPr>
              <w:t>Основні поняття матриці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_Toc531055204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6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1.2. </w:t>
          </w:r>
          <w:hyperlink w:anchor="_Toc531055205" w:history="1">
            <w:r w:rsidRPr="00AB030E">
              <w:rPr>
                <w:rStyle w:val="a6"/>
                <w:sz w:val="28"/>
                <w:szCs w:val="28"/>
              </w:rPr>
              <w:t>Множення матриць на число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_Toc531055205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9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1.3. </w:t>
          </w:r>
          <w:hyperlink w:anchor="_Toc531055206" w:history="1">
            <w:r w:rsidRPr="00AB030E">
              <w:rPr>
                <w:rStyle w:val="a6"/>
                <w:sz w:val="28"/>
                <w:szCs w:val="28"/>
              </w:rPr>
              <w:t>Додавання матриць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_Toc531055206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9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1.4. </w:t>
          </w:r>
          <w:hyperlink w:anchor="_Toc531055207" w:history="1">
            <w:r w:rsidRPr="00AB030E">
              <w:rPr>
                <w:rStyle w:val="a6"/>
                <w:sz w:val="28"/>
                <w:szCs w:val="28"/>
              </w:rPr>
              <w:t>Віднімання матриць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_Toc531055207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10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1.5. </w:t>
          </w:r>
          <w:hyperlink w:anchor="_Toc531055208" w:history="1">
            <w:r w:rsidRPr="00AB030E">
              <w:rPr>
                <w:rStyle w:val="a6"/>
                <w:rFonts w:ascii="Times New Roman" w:hAnsi="Times New Roman"/>
                <w:sz w:val="28"/>
                <w:szCs w:val="28"/>
              </w:rPr>
              <w:t>Множення матриць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_Toc531055208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16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1.6. </w:t>
          </w:r>
          <w:hyperlink w:anchor="_Toc531055209" w:history="1">
            <w:r w:rsidRPr="00AB030E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>Піднесення матриці до степеня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_Toc531055209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26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1.7. </w:t>
          </w:r>
          <w:hyperlink w:anchor="_Toc531055210" w:history="1">
            <w:r w:rsidRPr="00AB030E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>Транспонування матриці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_Toc531055210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32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hyperlink w:anchor="_Toc531055211" w:history="1">
            <w:r w:rsidRPr="00AB030E">
              <w:rPr>
                <w:rStyle w:val="a6"/>
                <w:rFonts w:ascii="Times New Roman" w:hAnsi="Times New Roman"/>
                <w:sz w:val="28"/>
                <w:szCs w:val="28"/>
              </w:rPr>
              <w:t>Завдання для самостійного опрацювання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_Toc531055211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38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11"/>
            <w:rPr>
              <w:rFonts w:asciiTheme="minorHAnsi" w:hAnsiTheme="minorHAns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Розділ 2. </w:t>
          </w:r>
          <w:hyperlink w:anchor="_Toc531055212" w:history="1">
            <w:r w:rsidRPr="00AB030E">
              <w:rPr>
                <w:rStyle w:val="a6"/>
                <w:rFonts w:ascii="Century" w:hAnsi="Century"/>
                <w:sz w:val="28"/>
                <w:szCs w:val="28"/>
              </w:rPr>
              <w:t>Визначники квадратних матриць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_Toc531055212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57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  <w:tab w:val="right" w:leader="dot" w:pos="9214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2.1. </w:t>
          </w:r>
          <w:hyperlink w:anchor="_Toc531055213" w:history="1">
            <w:r w:rsidRPr="00AB030E">
              <w:rPr>
                <w:rStyle w:val="a6"/>
                <w:sz w:val="28"/>
                <w:szCs w:val="28"/>
              </w:rPr>
              <w:t>Поняття та знаходження визначника квадратних матриць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_Toc531055213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57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  <w:tab w:val="right" w:leader="dot" w:pos="9214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2.2. </w:t>
          </w:r>
          <w:hyperlink w:anchor="_Toc531055214" w:history="1">
            <w:r w:rsidRPr="00AB030E">
              <w:rPr>
                <w:rStyle w:val="a6"/>
                <w:sz w:val="28"/>
                <w:szCs w:val="28"/>
              </w:rPr>
              <w:t>Властивості визначників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_Toc531055214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68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  <w:tab w:val="right" w:leader="dot" w:pos="9214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hyperlink w:anchor="_Toc531055215" w:history="1">
            <w:r w:rsidRPr="00AB030E">
              <w:rPr>
                <w:rStyle w:val="a6"/>
                <w:rFonts w:ascii="Times New Roman" w:hAnsi="Times New Roman"/>
                <w:sz w:val="28"/>
                <w:szCs w:val="28"/>
              </w:rPr>
              <w:t>Завдання для самостійного опрацювання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_Toc531055215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81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11"/>
            <w:tabs>
              <w:tab w:val="right" w:leader="dot" w:pos="9214"/>
            </w:tabs>
            <w:rPr>
              <w:rFonts w:asciiTheme="minorHAnsi" w:hAnsiTheme="minorHAns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Розділ 3. </w:t>
          </w:r>
          <w:hyperlink w:anchor="_Toc531055216" w:history="1">
            <w:r w:rsidRPr="00AB030E">
              <w:rPr>
                <w:rStyle w:val="a6"/>
                <w:rFonts w:ascii="Century" w:hAnsi="Century"/>
                <w:sz w:val="28"/>
                <w:szCs w:val="28"/>
                <w:shd w:val="clear" w:color="auto" w:fill="FFFFFF"/>
              </w:rPr>
              <w:t>Мінори та алгебраїчні доповнення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_Toc531055216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85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  <w:tab w:val="right" w:leader="dot" w:pos="9214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3.1. </w:t>
          </w:r>
          <w:hyperlink w:anchor="_Toc531055217" w:history="1">
            <w:r w:rsidRPr="00AB030E">
              <w:rPr>
                <w:rStyle w:val="a6"/>
                <w:sz w:val="28"/>
                <w:szCs w:val="28"/>
                <w:shd w:val="clear" w:color="auto" w:fill="FFFFFF"/>
              </w:rPr>
              <w:t>Поняття мінорів та алгебраїчних доповнень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_Toc531055217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85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  <w:tab w:val="right" w:leader="dot" w:pos="9214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3.2. </w:t>
          </w:r>
          <w:hyperlink w:anchor="_Toc531055218" w:history="1">
            <w:r w:rsidRPr="00AB030E">
              <w:rPr>
                <w:rStyle w:val="a6"/>
                <w:sz w:val="28"/>
                <w:szCs w:val="28"/>
              </w:rPr>
              <w:t>Знаходження визначника розкладанням за елементами рядка чи стовпця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_Toc531055218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87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  <w:tab w:val="right" w:leader="dot" w:pos="9214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hyperlink w:anchor="_Toc531055219" w:history="1">
            <w:r w:rsidRPr="00AB030E">
              <w:rPr>
                <w:rStyle w:val="a6"/>
                <w:rFonts w:ascii="Times New Roman" w:hAnsi="Times New Roman"/>
                <w:sz w:val="28"/>
                <w:szCs w:val="28"/>
              </w:rPr>
              <w:t>Завдання для самостійного опрацювання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_Toc531055219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89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11"/>
            <w:tabs>
              <w:tab w:val="right" w:leader="dot" w:pos="9214"/>
            </w:tabs>
            <w:rPr>
              <w:rFonts w:asciiTheme="minorHAnsi" w:hAnsiTheme="minorHAns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Розділ 4. </w:t>
          </w:r>
          <w:hyperlink w:anchor="_Toc531055220" w:history="1">
            <w:r w:rsidRPr="00AB030E">
              <w:rPr>
                <w:rStyle w:val="a6"/>
                <w:rFonts w:ascii="Century" w:hAnsi="Century"/>
                <w:sz w:val="28"/>
                <w:szCs w:val="28"/>
              </w:rPr>
              <w:t>Обернена матриця, ранг матриці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_Toc531055220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95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  <w:tab w:val="right" w:leader="dot" w:pos="9214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4.1. </w:t>
          </w:r>
          <w:hyperlink w:anchor="_Toc531055221" w:history="1">
            <w:r w:rsidRPr="00AB030E">
              <w:rPr>
                <w:rStyle w:val="a6"/>
                <w:sz w:val="28"/>
                <w:szCs w:val="28"/>
              </w:rPr>
              <w:t>Поняття та знаходження оберненої матриці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_Toc531055221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95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  <w:tab w:val="right" w:leader="dot" w:pos="9214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4.2. </w:t>
          </w:r>
          <w:hyperlink w:anchor="_Toc531055222" w:history="1">
            <w:r w:rsidRPr="00AB030E">
              <w:rPr>
                <w:rStyle w:val="a6"/>
                <w:sz w:val="28"/>
                <w:szCs w:val="28"/>
              </w:rPr>
              <w:t>Поняття ранг матриці та знаходження рангу матриці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_Toc531055222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100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  <w:tab w:val="right" w:leader="dot" w:pos="9214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hyperlink w:anchor="_Toc531055223" w:history="1">
            <w:r w:rsidRPr="00AB030E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>Завдання для самостійного опрацювання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_Toc531055223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104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11"/>
            <w:rPr>
              <w:rStyle w:val="a6"/>
              <w:sz w:val="28"/>
              <w:szCs w:val="28"/>
            </w:rPr>
          </w:pPr>
        </w:p>
        <w:p w:rsidR="00B51EA6" w:rsidRPr="00AB030E" w:rsidRDefault="00B51EA6" w:rsidP="00B51EA6">
          <w:pPr>
            <w:pStyle w:val="11"/>
            <w:rPr>
              <w:rFonts w:asciiTheme="minorHAnsi" w:hAnsiTheme="minorHAns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lastRenderedPageBreak/>
            <w:t>Розділ 5.</w:t>
          </w:r>
          <w:r w:rsidRPr="00AB030E">
            <w:rPr>
              <w:rStyle w:val="a6"/>
              <w:b w:val="0"/>
              <w:sz w:val="28"/>
              <w:szCs w:val="28"/>
            </w:rPr>
            <w:t xml:space="preserve"> </w:t>
          </w:r>
          <w:hyperlink w:anchor="_Toc531055224" w:history="1">
            <w:r w:rsidRPr="00AB030E">
              <w:rPr>
                <w:rStyle w:val="a6"/>
                <w:rFonts w:ascii="Century" w:hAnsi="Century"/>
                <w:sz w:val="28"/>
                <w:szCs w:val="28"/>
              </w:rPr>
              <w:t>Визначники вищих порядків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_Toc531055224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109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5.1. </w:t>
          </w:r>
          <w:hyperlink w:anchor="_Toc531055225" w:history="1">
            <w:r w:rsidRPr="00AB030E">
              <w:rPr>
                <w:rStyle w:val="a6"/>
                <w:sz w:val="28"/>
                <w:szCs w:val="28"/>
              </w:rPr>
              <w:t>Зведення визначників до трикутного  вигляду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_Toc531055225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109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5.2. </w:t>
          </w:r>
          <w:hyperlink w:anchor="_Toc531055226" w:history="1">
            <w:r w:rsidRPr="00AB030E">
              <w:rPr>
                <w:rStyle w:val="a6"/>
                <w:sz w:val="28"/>
                <w:szCs w:val="28"/>
              </w:rPr>
              <w:t>Метод пониження порядку визначника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_Toc531055226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126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5.3. </w:t>
          </w:r>
          <w:hyperlink w:anchor="_Toc531055228" w:history="1">
            <w:r w:rsidRPr="00AB030E">
              <w:rPr>
                <w:rStyle w:val="a6"/>
                <w:sz w:val="28"/>
                <w:szCs w:val="28"/>
              </w:rPr>
              <w:t>Метод виділення лінійних множників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_Toc531055228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130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5.4. </w:t>
          </w:r>
          <w:hyperlink w:anchor="_Toc531055230" w:history="1">
            <w:r w:rsidRPr="00AB030E">
              <w:rPr>
                <w:rStyle w:val="a6"/>
                <w:sz w:val="28"/>
                <w:szCs w:val="28"/>
              </w:rPr>
              <w:t>Метод розкладу визначника в суму визначників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_Toc531055230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136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5.5. </w:t>
          </w:r>
          <w:hyperlink w:anchor="_Toc531055231" w:history="1">
            <w:r w:rsidRPr="00AB030E">
              <w:rPr>
                <w:rStyle w:val="a6"/>
                <w:sz w:val="28"/>
                <w:szCs w:val="28"/>
              </w:rPr>
              <w:t>Зведення визначників до визначника Вандермонда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_Toc531055231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140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clear" w:pos="9628"/>
              <w:tab w:val="right" w:leader="dot" w:pos="9072"/>
            </w:tabs>
            <w:rPr>
              <w:sz w:val="28"/>
              <w:szCs w:val="28"/>
            </w:rPr>
          </w:pPr>
          <w:hyperlink w:anchor="_Toc531055232" w:history="1">
            <w:r w:rsidRPr="00AB030E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>Завдання для самостійного опрацювання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_Toc531055232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145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11"/>
            <w:rPr>
              <w:rFonts w:asciiTheme="minorHAnsi" w:hAnsiTheme="minorHAns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Модул ІІІ. </w:t>
          </w:r>
          <w:hyperlink w:anchor="_Toc531055233" w:history="1">
            <w:r w:rsidRPr="00AB030E">
              <w:rPr>
                <w:rStyle w:val="a6"/>
                <w:sz w:val="28"/>
                <w:szCs w:val="28"/>
              </w:rPr>
              <w:t>СИСТЕМИ ЛІНІЙНИХ АЛГЕБРАЇЧНИХ РІВНЯНЬ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_Toc531055233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151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11"/>
            <w:rPr>
              <w:rFonts w:asciiTheme="minorHAnsi" w:hAnsiTheme="minorHAns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Розділ 6. </w:t>
          </w:r>
          <w:hyperlink w:anchor="_Toc531055233" w:history="1">
            <w:r w:rsidRPr="00AB030E">
              <w:rPr>
                <w:rStyle w:val="a6"/>
                <w:sz w:val="28"/>
                <w:szCs w:val="28"/>
              </w:rPr>
              <w:t>СИСТЕМИ ЛІНІЙНИХ АЛГЕБРАЇЧНИХ РІВНЯНЬ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_Toc531055233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151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6.1. </w:t>
          </w:r>
          <w:hyperlink w:anchor="_Toc531055234" w:history="1">
            <w:r w:rsidRPr="00AB030E">
              <w:rPr>
                <w:rStyle w:val="a6"/>
                <w:rFonts w:ascii="Times New Roman" w:hAnsi="Times New Roman"/>
                <w:sz w:val="28"/>
                <w:szCs w:val="28"/>
              </w:rPr>
              <w:t>Поняття про лінійні  алгебраїчні рівняння. Теорема Кронекера – Капеллі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_Toc531055234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151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6.2. </w:t>
          </w:r>
          <w:hyperlink w:anchor="_Toc531055235" w:history="1">
            <w:r w:rsidRPr="00AB030E">
              <w:rPr>
                <w:rStyle w:val="a6"/>
                <w:rFonts w:ascii="Times New Roman" w:hAnsi="Times New Roman"/>
                <w:sz w:val="28"/>
                <w:szCs w:val="28"/>
              </w:rPr>
              <w:t>Метод Гаусса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_Toc531055235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154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6.3. </w:t>
          </w:r>
          <w:hyperlink w:anchor="_Toc531055236" w:history="1">
            <w:r w:rsidRPr="00AB030E">
              <w:rPr>
                <w:rStyle w:val="a6"/>
                <w:rFonts w:ascii="Times New Roman" w:hAnsi="Times New Roman"/>
                <w:sz w:val="28"/>
                <w:szCs w:val="28"/>
              </w:rPr>
              <w:t>Матричний спосіб розв'язування систем лінійних алгебраїчних рівнянь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_Toc531055236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158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r w:rsidRPr="00AB030E">
            <w:rPr>
              <w:rStyle w:val="a6"/>
              <w:sz w:val="28"/>
              <w:szCs w:val="28"/>
            </w:rPr>
            <w:t xml:space="preserve">Параграф 6.4. </w:t>
          </w:r>
          <w:hyperlink w:anchor="_Toc531055237" w:history="1">
            <w:r w:rsidRPr="00AB030E">
              <w:rPr>
                <w:rStyle w:val="a6"/>
                <w:sz w:val="28"/>
                <w:szCs w:val="28"/>
              </w:rPr>
              <w:t>Метод Крамера розв’язування систем лінійних рівнянь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_Toc531055237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162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AB030E" w:rsidRDefault="00B51EA6" w:rsidP="00B51EA6">
          <w:pPr>
            <w:pStyle w:val="2"/>
            <w:tabs>
              <w:tab w:val="right" w:leader="dot" w:pos="9072"/>
            </w:tabs>
            <w:rPr>
              <w:rFonts w:asciiTheme="minorHAnsi" w:hAnsiTheme="minorHAnsi" w:cstheme="minorBidi"/>
              <w:sz w:val="28"/>
              <w:szCs w:val="28"/>
              <w:lang w:val="ru-RU"/>
            </w:rPr>
          </w:pPr>
          <w:hyperlink w:anchor="_Toc531055238" w:history="1">
            <w:r w:rsidRPr="00AB030E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>Завдання для самостійного опрацювання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_Toc531055238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166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Pr="00D86187" w:rsidRDefault="00B51EA6" w:rsidP="00B51EA6">
          <w:pPr>
            <w:pStyle w:val="11"/>
            <w:rPr>
              <w:rFonts w:asciiTheme="minorHAnsi" w:hAnsiTheme="minorHAnsi"/>
              <w:sz w:val="20"/>
              <w:lang w:val="ru-RU"/>
            </w:rPr>
          </w:pPr>
          <w:hyperlink w:anchor="_Toc531055239" w:history="1">
            <w:r w:rsidRPr="00AB030E">
              <w:rPr>
                <w:rStyle w:val="a6"/>
                <w:sz w:val="28"/>
                <w:szCs w:val="28"/>
              </w:rPr>
              <w:t>Використана література</w:t>
            </w:r>
            <w:r w:rsidRPr="00AB030E">
              <w:rPr>
                <w:webHidden/>
                <w:sz w:val="28"/>
                <w:szCs w:val="28"/>
              </w:rPr>
              <w:tab/>
            </w:r>
            <w:r w:rsidRPr="00AB030E">
              <w:rPr>
                <w:webHidden/>
                <w:sz w:val="28"/>
                <w:szCs w:val="28"/>
              </w:rPr>
              <w:fldChar w:fldCharType="begin"/>
            </w:r>
            <w:r w:rsidRPr="00AB030E">
              <w:rPr>
                <w:webHidden/>
                <w:sz w:val="28"/>
                <w:szCs w:val="28"/>
              </w:rPr>
              <w:instrText xml:space="preserve"> PAGEREF _Toc531055239 \h </w:instrText>
            </w:r>
            <w:r w:rsidRPr="00AB030E">
              <w:rPr>
                <w:webHidden/>
                <w:sz w:val="28"/>
                <w:szCs w:val="28"/>
              </w:rPr>
            </w:r>
            <w:r w:rsidRPr="00AB030E">
              <w:rPr>
                <w:webHidden/>
                <w:sz w:val="28"/>
                <w:szCs w:val="28"/>
              </w:rPr>
              <w:fldChar w:fldCharType="separate"/>
            </w:r>
            <w:r>
              <w:rPr>
                <w:webHidden/>
                <w:sz w:val="28"/>
                <w:szCs w:val="28"/>
              </w:rPr>
              <w:t>169</w:t>
            </w:r>
            <w:r w:rsidRPr="00AB030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51EA6" w:rsidRDefault="00B51EA6" w:rsidP="00B51EA6">
          <w:r w:rsidRPr="00D86187">
            <w:rPr>
              <w:sz w:val="24"/>
              <w:szCs w:val="32"/>
            </w:rPr>
            <w:fldChar w:fldCharType="end"/>
          </w:r>
        </w:p>
      </w:sdtContent>
    </w:sdt>
    <w:p w:rsidR="00B51EA6" w:rsidRPr="00323CE9" w:rsidRDefault="00B51EA6" w:rsidP="00B51EA6">
      <w:pPr>
        <w:pStyle w:val="1"/>
        <w:keepNext w:val="0"/>
        <w:widowControl w:val="0"/>
        <w:rPr>
          <w:b w:val="0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br w:type="column"/>
      </w:r>
      <w:bookmarkStart w:id="1" w:name="_Toc493730102"/>
      <w:bookmarkStart w:id="2" w:name="_Toc493730572"/>
      <w:bookmarkStart w:id="3" w:name="_Toc531055202"/>
      <w:r w:rsidRPr="0051791C">
        <w:rPr>
          <w:shd w:val="clear" w:color="auto" w:fill="FFFFFF"/>
          <w:lang w:val="uk-UA"/>
        </w:rPr>
        <w:lastRenderedPageBreak/>
        <w:t>Передмова</w:t>
      </w:r>
      <w:bookmarkEnd w:id="0"/>
      <w:bookmarkEnd w:id="1"/>
      <w:bookmarkEnd w:id="2"/>
      <w:bookmarkEnd w:id="3"/>
    </w:p>
    <w:p w:rsidR="00B51EA6" w:rsidRPr="001347BC" w:rsidRDefault="00B51EA6" w:rsidP="00B51E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51791C">
        <w:rPr>
          <w:rFonts w:ascii="Times New Roman" w:hAnsi="Times New Roman" w:cs="Times New Roman"/>
          <w:spacing w:val="-4"/>
          <w:sz w:val="32"/>
          <w:szCs w:val="32"/>
          <w:lang w:val="uk-UA"/>
        </w:rPr>
        <w:t>Сучасна педагогічна освіта вимагає від майбутніх вчителів мате</w:t>
      </w:r>
      <w:r w:rsidRPr="001347BC">
        <w:rPr>
          <w:rFonts w:ascii="Times New Roman" w:hAnsi="Times New Roman" w:cs="Times New Roman"/>
          <w:spacing w:val="-4"/>
          <w:sz w:val="32"/>
          <w:szCs w:val="32"/>
          <w:lang w:val="uk-UA"/>
        </w:rPr>
        <w:t xml:space="preserve">матики </w:t>
      </w:r>
      <w:r w:rsidRPr="001347BC">
        <w:rPr>
          <w:rFonts w:ascii="Times New Roman" w:hAnsi="Times New Roman" w:cs="Times New Roman"/>
          <w:spacing w:val="-2"/>
          <w:sz w:val="32"/>
          <w:szCs w:val="32"/>
          <w:lang w:val="uk-UA"/>
        </w:rPr>
        <w:t xml:space="preserve">володіти не тільки </w:t>
      </w:r>
      <w:r w:rsidRPr="001347BC">
        <w:rPr>
          <w:rFonts w:ascii="Times New Roman" w:hAnsi="Times New Roman" w:cs="Times New Roman"/>
          <w:spacing w:val="-4"/>
          <w:sz w:val="32"/>
          <w:szCs w:val="32"/>
          <w:lang w:val="uk-UA"/>
        </w:rPr>
        <w:t xml:space="preserve">знаннями, вміннями і навичками елементарної математики, а й іншими математичними дисциплінами для того, щоб стати висококваліфікованим фахівцем у своїй справі. Зокрема, особлива увага приділяється вивченню лінійної алгебри, адже отримані знання по закінченні курсу </w:t>
      </w:r>
      <w:r w:rsidRPr="001347B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необхідні для оволодіння сучасним математичним апаратом із метою подальшого його застосування під час вивчення інших математичних дисциплін, а також при проведенні самостійних наукових досліджень. Опанування курсу лінійної алгебри займає важливе місце в системі підготовки майбутнього вчителя математики, оскільки сприяє як формуванню наукового світогляду в цілому, так і математичної культури зокрема.</w:t>
      </w:r>
    </w:p>
    <w:p w:rsidR="00B51EA6" w:rsidRPr="001347BC" w:rsidRDefault="00B51EA6" w:rsidP="00B5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347BC">
        <w:rPr>
          <w:rFonts w:ascii="Times New Roman" w:hAnsi="Times New Roman" w:cs="Times New Roman"/>
          <w:sz w:val="32"/>
          <w:szCs w:val="32"/>
          <w:lang w:val="uk-UA"/>
        </w:rPr>
        <w:t xml:space="preserve">Посібник складається із розділів, які умовно можна поділити на дві частини: теоретичні основи із </w:t>
      </w:r>
      <w:r>
        <w:rPr>
          <w:rFonts w:ascii="Times New Roman" w:hAnsi="Times New Roman" w:cs="Times New Roman"/>
          <w:sz w:val="32"/>
          <w:szCs w:val="32"/>
          <w:lang w:val="uk-UA"/>
        </w:rPr>
        <w:t>зразками</w:t>
      </w:r>
      <w:r w:rsidRPr="001347BC">
        <w:rPr>
          <w:rFonts w:ascii="Times New Roman" w:hAnsi="Times New Roman" w:cs="Times New Roman"/>
          <w:sz w:val="32"/>
          <w:szCs w:val="32"/>
          <w:lang w:val="uk-UA"/>
        </w:rPr>
        <w:t xml:space="preserve"> розв’язання вправ та завдання для самостійного опрацювання трьох рівнів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347B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складності.</w:t>
      </w:r>
    </w:p>
    <w:p w:rsidR="00B51EA6" w:rsidRPr="001347BC" w:rsidRDefault="00B51EA6" w:rsidP="00B51EA6">
      <w:pPr>
        <w:pStyle w:val="a3"/>
        <w:spacing w:after="0" w:line="360" w:lineRule="auto"/>
        <w:ind w:firstLine="709"/>
        <w:jc w:val="both"/>
        <w:rPr>
          <w:sz w:val="32"/>
          <w:szCs w:val="32"/>
          <w:lang w:val="uk-UA"/>
        </w:rPr>
      </w:pPr>
      <w:r w:rsidRPr="001347BC">
        <w:rPr>
          <w:sz w:val="32"/>
          <w:szCs w:val="32"/>
          <w:lang w:val="uk-UA"/>
        </w:rPr>
        <w:t>У цілому за змістом, структурою, логікою та послідовністю викладання матеріалу навчально-методичний посібник “Лінійна алгебра. Модуль ІІ. Матриці та визначники</w:t>
      </w:r>
      <w:r>
        <w:rPr>
          <w:sz w:val="32"/>
          <w:szCs w:val="32"/>
          <w:lang w:val="uk-UA"/>
        </w:rPr>
        <w:t>. Модуль ІІІ. Системи лінійних алгебраїчних рівнянь</w:t>
      </w:r>
      <w:r w:rsidRPr="001347BC">
        <w:rPr>
          <w:sz w:val="32"/>
          <w:szCs w:val="32"/>
          <w:lang w:val="uk-UA"/>
        </w:rPr>
        <w:t>” відповідає навчальній програмі з дисципліни «Лінійна алгебра» та є оригінальним виданням, яке має наукову новизну та практичну цінність. Він буде корисним для студентів педагогічних університетів та викладачів вищих навчальних закладів.</w:t>
      </w:r>
    </w:p>
    <w:p w:rsidR="00350622" w:rsidRDefault="00B51EA6" w:rsidP="00B51EA6">
      <w:bookmarkStart w:id="4" w:name="_GoBack"/>
      <w:bookmarkEnd w:id="4"/>
      <w:r>
        <w:rPr>
          <w:rFonts w:ascii="Times New Roman" w:hAnsi="Times New Roman" w:cs="Times New Roman"/>
          <w:sz w:val="32"/>
          <w:szCs w:val="32"/>
          <w:lang w:val="uk-UA"/>
        </w:rPr>
        <w:br w:type="column"/>
      </w:r>
    </w:p>
    <w:sectPr w:rsidR="00350622" w:rsidSect="008B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A6"/>
    <w:rsid w:val="000B2E0E"/>
    <w:rsid w:val="001458A5"/>
    <w:rsid w:val="00161BA1"/>
    <w:rsid w:val="00254F39"/>
    <w:rsid w:val="00350622"/>
    <w:rsid w:val="00451942"/>
    <w:rsid w:val="00486B4E"/>
    <w:rsid w:val="004E0FA4"/>
    <w:rsid w:val="0054533A"/>
    <w:rsid w:val="00695D57"/>
    <w:rsid w:val="006A757E"/>
    <w:rsid w:val="00702A89"/>
    <w:rsid w:val="00846824"/>
    <w:rsid w:val="008B42DE"/>
    <w:rsid w:val="00B51EA6"/>
    <w:rsid w:val="00D362D7"/>
    <w:rsid w:val="00D91992"/>
    <w:rsid w:val="00EA06A0"/>
    <w:rsid w:val="00EB7290"/>
    <w:rsid w:val="00FB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EA6"/>
    <w:pPr>
      <w:keepNext/>
      <w:keepLines/>
      <w:suppressAutoHyphens/>
      <w:spacing w:before="160" w:after="120" w:line="240" w:lineRule="auto"/>
      <w:outlineLvl w:val="0"/>
    </w:pPr>
    <w:rPr>
      <w:rFonts w:ascii="Times New Roman" w:eastAsia="Times New Roman" w:hAnsi="Times New Roman" w:cs="Times New Roman"/>
      <w:b/>
      <w:color w:val="0080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EA6"/>
    <w:rPr>
      <w:rFonts w:ascii="Times New Roman" w:eastAsia="Times New Roman" w:hAnsi="Times New Roman" w:cs="Times New Roman"/>
      <w:b/>
      <w:color w:val="008000"/>
      <w:sz w:val="40"/>
      <w:szCs w:val="20"/>
      <w:lang w:eastAsia="ru-RU"/>
    </w:rPr>
  </w:style>
  <w:style w:type="paragraph" w:styleId="a3">
    <w:name w:val="Body Text"/>
    <w:basedOn w:val="a"/>
    <w:link w:val="a4"/>
    <w:rsid w:val="00B51E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51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B51EA6"/>
    <w:p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51EA6"/>
    <w:pPr>
      <w:tabs>
        <w:tab w:val="right" w:leader="dot" w:pos="9072"/>
      </w:tabs>
      <w:spacing w:after="100"/>
    </w:pPr>
    <w:rPr>
      <w:rFonts w:ascii="Times New Roman" w:eastAsiaTheme="minorEastAsia" w:hAnsi="Times New Roman" w:cs="Times New Roman"/>
      <w:b/>
      <w:noProof/>
      <w:lang w:val="uk-UA" w:eastAsia="ru-RU"/>
    </w:rPr>
  </w:style>
  <w:style w:type="paragraph" w:styleId="2">
    <w:name w:val="toc 2"/>
    <w:basedOn w:val="a"/>
    <w:next w:val="a"/>
    <w:autoRedefine/>
    <w:uiPriority w:val="39"/>
    <w:unhideWhenUsed/>
    <w:rsid w:val="00B51EA6"/>
    <w:pPr>
      <w:tabs>
        <w:tab w:val="right" w:leader="dot" w:pos="9628"/>
      </w:tabs>
      <w:spacing w:after="100"/>
      <w:ind w:left="220"/>
    </w:pPr>
    <w:rPr>
      <w:rFonts w:ascii="Century" w:eastAsiaTheme="minorEastAsia" w:hAnsi="Century" w:cs="Times New Roman"/>
      <w:noProof/>
      <w:lang w:val="uk-UA" w:eastAsia="ru-RU"/>
    </w:rPr>
  </w:style>
  <w:style w:type="character" w:styleId="a6">
    <w:name w:val="Hyperlink"/>
    <w:basedOn w:val="a0"/>
    <w:uiPriority w:val="99"/>
    <w:unhideWhenUsed/>
    <w:rsid w:val="00B51EA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EA6"/>
    <w:pPr>
      <w:keepNext/>
      <w:keepLines/>
      <w:suppressAutoHyphens/>
      <w:spacing w:before="160" w:after="120" w:line="240" w:lineRule="auto"/>
      <w:outlineLvl w:val="0"/>
    </w:pPr>
    <w:rPr>
      <w:rFonts w:ascii="Times New Roman" w:eastAsia="Times New Roman" w:hAnsi="Times New Roman" w:cs="Times New Roman"/>
      <w:b/>
      <w:color w:val="0080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EA6"/>
    <w:rPr>
      <w:rFonts w:ascii="Times New Roman" w:eastAsia="Times New Roman" w:hAnsi="Times New Roman" w:cs="Times New Roman"/>
      <w:b/>
      <w:color w:val="008000"/>
      <w:sz w:val="40"/>
      <w:szCs w:val="20"/>
      <w:lang w:eastAsia="ru-RU"/>
    </w:rPr>
  </w:style>
  <w:style w:type="paragraph" w:styleId="a3">
    <w:name w:val="Body Text"/>
    <w:basedOn w:val="a"/>
    <w:link w:val="a4"/>
    <w:rsid w:val="00B51E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51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B51EA6"/>
    <w:p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51EA6"/>
    <w:pPr>
      <w:tabs>
        <w:tab w:val="right" w:leader="dot" w:pos="9072"/>
      </w:tabs>
      <w:spacing w:after="100"/>
    </w:pPr>
    <w:rPr>
      <w:rFonts w:ascii="Times New Roman" w:eastAsiaTheme="minorEastAsia" w:hAnsi="Times New Roman" w:cs="Times New Roman"/>
      <w:b/>
      <w:noProof/>
      <w:lang w:val="uk-UA" w:eastAsia="ru-RU"/>
    </w:rPr>
  </w:style>
  <w:style w:type="paragraph" w:styleId="2">
    <w:name w:val="toc 2"/>
    <w:basedOn w:val="a"/>
    <w:next w:val="a"/>
    <w:autoRedefine/>
    <w:uiPriority w:val="39"/>
    <w:unhideWhenUsed/>
    <w:rsid w:val="00B51EA6"/>
    <w:pPr>
      <w:tabs>
        <w:tab w:val="right" w:leader="dot" w:pos="9628"/>
      </w:tabs>
      <w:spacing w:after="100"/>
      <w:ind w:left="220"/>
    </w:pPr>
    <w:rPr>
      <w:rFonts w:ascii="Century" w:eastAsiaTheme="minorEastAsia" w:hAnsi="Century" w:cs="Times New Roman"/>
      <w:noProof/>
      <w:lang w:val="uk-UA" w:eastAsia="ru-RU"/>
    </w:rPr>
  </w:style>
  <w:style w:type="character" w:styleId="a6">
    <w:name w:val="Hyperlink"/>
    <w:basedOn w:val="a0"/>
    <w:uiPriority w:val="99"/>
    <w:unhideWhenUsed/>
    <w:rsid w:val="00B51EA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vitos</dc:creator>
  <cp:lastModifiedBy>vitos</cp:lastModifiedBy>
  <cp:revision>1</cp:revision>
  <dcterms:created xsi:type="dcterms:W3CDTF">2018-12-02T08:29:00Z</dcterms:created>
  <dcterms:modified xsi:type="dcterms:W3CDTF">2018-12-02T08:30:00Z</dcterms:modified>
</cp:coreProperties>
</file>